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lang w:val="pl-PL" w:eastAsia="pl-PL" w:bidi="ar-SA"/>
        </w:rPr>
        <w:t>INFORMACJA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Osoba korzystająca z dodatku mieszkaniowego jest obowiązana przechowywać dokumenty potwierdzające dane zawarte we wniosku o przyznanie dodatku mieszkaniowego i w deklaracji o wysokości dochodów przez okres 3 lat od dnia wydania decyzji o przyznaniu tego dodatku. 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/>
      </w:pPr>
      <w:bookmarkStart w:id="0" w:name="ref-przyp_24"/>
      <w:bookmarkEnd w:id="0"/>
      <w:r>
        <w:rPr>
          <w:color w:val="000000"/>
          <w:sz w:val="20"/>
          <w:szCs w:val="20"/>
        </w:rPr>
        <w:t>1. Dodatek mieszkaniowy przyznaje się na wniosek osoby uprawnionej do dodatku mieszkaniowego. Do wniosku dołącza się deklarację o dochodach gospodarstwa domowego za okres 3 miesięcy</w:t>
      </w:r>
      <w:r>
        <w:rPr>
          <w:rStyle w:val="Del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poprzedzających dzień złożenia wniosku oraz </w:t>
      </w:r>
      <w:r>
        <w:rPr>
          <w:rStyle w:val="Ins"/>
          <w:color w:val="000000"/>
          <w:sz w:val="20"/>
          <w:szCs w:val="20"/>
        </w:rPr>
        <w:t>dokumenty potwierdzające wysokość ponoszonych w</w:t>
      </w:r>
      <w:r>
        <w:rPr>
          <w:color w:val="000000"/>
          <w:sz w:val="20"/>
          <w:szCs w:val="20"/>
        </w:rPr>
        <w:t xml:space="preserve"> </w:t>
      </w:r>
      <w:r>
        <w:rPr>
          <w:rStyle w:val="Ins"/>
          <w:color w:val="000000"/>
          <w:sz w:val="20"/>
          <w:szCs w:val="20"/>
        </w:rPr>
        <w:t>miesiącu poprzedzającym dzień złożenia wniosku wydatków związanych                              z zajmowaniem lokalu mieszkalnego</w:t>
      </w:r>
      <w:r>
        <w:rPr>
          <w:color w:val="000000"/>
          <w:sz w:val="20"/>
          <w:szCs w:val="20"/>
        </w:rPr>
        <w:t>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color w:val="000000"/>
          <w:sz w:val="20"/>
          <w:szCs w:val="20"/>
        </w:rPr>
        <w:t xml:space="preserve">2. Przez gospodarstwo domowe rozumie się gospodarstwo prowadzone przez osobę ubiegającą się o </w:t>
      </w:r>
      <w:r>
        <w:rPr>
          <w:rStyle w:val="Ins"/>
          <w:color w:val="000000"/>
          <w:sz w:val="20"/>
          <w:szCs w:val="20"/>
        </w:rPr>
        <w:t>przyznanie</w:t>
      </w:r>
      <w:r>
        <w:rPr>
          <w:color w:val="000000"/>
          <w:sz w:val="20"/>
          <w:szCs w:val="20"/>
        </w:rPr>
        <w:t xml:space="preserve"> </w:t>
      </w:r>
      <w:r>
        <w:rPr>
          <w:rStyle w:val="Ins"/>
          <w:color w:val="000000"/>
          <w:sz w:val="20"/>
          <w:szCs w:val="20"/>
        </w:rPr>
        <w:t>dodatku mieszkaniowego</w:t>
      </w:r>
      <w:r>
        <w:rPr>
          <w:color w:val="000000"/>
          <w:sz w:val="20"/>
          <w:szCs w:val="20"/>
        </w:rPr>
        <w:t>, samodzielnie zajmującą lokal</w:t>
      </w:r>
      <w:r>
        <w:rPr>
          <w:rStyle w:val="Ins"/>
          <w:color w:val="000000"/>
          <w:sz w:val="20"/>
          <w:szCs w:val="20"/>
        </w:rPr>
        <w:t xml:space="preserve"> mieszkalny</w:t>
      </w:r>
      <w:r>
        <w:rPr>
          <w:color w:val="000000"/>
          <w:sz w:val="20"/>
          <w:szCs w:val="20"/>
        </w:rPr>
        <w:t xml:space="preserve"> albo gospodarstwo prowadzone przez tę osobę wspólnie                                 z małżonkiem i innymi osobami stale z nią zamieszkującymi i gospodarującymi, które swoje prawa do zamieszkiwania w lokalu wywodzą z prawa tej osoby</w:t>
      </w:r>
      <w:r>
        <w:rPr>
          <w:rStyle w:val="Ins"/>
          <w:color w:val="000000"/>
          <w:sz w:val="20"/>
          <w:szCs w:val="20"/>
        </w:rPr>
        <w:t>. Do członków gospodarstwa domowego nie wlicza się osób przebywających w instytucjach,                         o których mowa w art. 2 ust. 3 ustawy o dodatkach mieszkaniowych,</w:t>
      </w:r>
      <w:r>
        <w:rPr>
          <w:color w:val="000000"/>
          <w:sz w:val="20"/>
          <w:szCs w:val="20"/>
        </w:rPr>
        <w:t xml:space="preserve"> tj. osób przebywający</w:t>
      </w:r>
      <w:r>
        <w:rPr>
          <w:rFonts w:eastAsia="Times New Roman" w:cs="Times New Roman"/>
          <w:color w:val="000000"/>
          <w:kern w:val="0"/>
          <w:sz w:val="20"/>
          <w:szCs w:val="20"/>
          <w:lang w:val="pl-PL" w:eastAsia="pl-PL" w:bidi="ar-SA"/>
        </w:rPr>
        <w:t>ch</w:t>
      </w:r>
      <w:r>
        <w:rPr>
          <w:color w:val="000000"/>
          <w:sz w:val="20"/>
          <w:szCs w:val="20"/>
        </w:rPr>
        <w:t xml:space="preserve">  w: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domu pomocy społecznej,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młodzieżowym ośrodku wychowawczym,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schronisku dla nieletnich,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zakładzie poprawczym,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zakładzie karnym,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szkole, w tym w szkole wojskowej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jeżeli instytucje te zapewniają nieodpłatnie pełne całodobowe utrzymanie.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>3. Za dochód uważa się dochód w rozumieniu art. 3 pkt 1 ustawy z dnia 28 listopada 2003 r. o świadczeniach rodzinnych.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Ilekroć w ustawie jest mowa o: 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dochodzie - oznacza to, po odliczeniu kwot alimentów świadczonych na rzecz innych osób: 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a) przychody podlegające opodatkowaniu na zasadach określonych w </w:t>
      </w:r>
      <w:r>
        <w:fldChar w:fldCharType="begin"/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"/document/16794311?unitId=art(27)&amp;cm=DOCUMENT"</w:instrTex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strike w:val="false"/>
          <w:dstrike w:val="false"/>
          <w:color w:val="000000"/>
          <w:sz w:val="20"/>
          <w:szCs w:val="20"/>
          <w:u w:val="none"/>
          <w:lang w:val="zxx" w:eastAsia="zxx" w:bidi="zxx"/>
        </w:rPr>
        <w:t>art. 27</w: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strike w:val="false"/>
          <w:dstrike w:val="false"/>
          <w:color w:val="000000"/>
          <w:sz w:val="20"/>
          <w:szCs w:val="20"/>
          <w:u w:val="none"/>
        </w:rPr>
        <w:t xml:space="preserve">, </w:t>
      </w:r>
      <w:r>
        <w:fldChar w:fldCharType="begin"/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"/document/16794311?unitId=art(30(b))&amp;cm=DOCUMENT"</w:instrTex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strike w:val="false"/>
          <w:dstrike w:val="false"/>
          <w:color w:val="000000"/>
          <w:sz w:val="20"/>
          <w:szCs w:val="20"/>
          <w:u w:val="none"/>
          <w:lang w:val="zxx" w:eastAsia="zxx" w:bidi="zxx"/>
        </w:rPr>
        <w:t>art. 30b</w: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strike w:val="false"/>
          <w:dstrike w:val="false"/>
          <w:color w:val="000000"/>
          <w:sz w:val="20"/>
          <w:szCs w:val="20"/>
          <w:u w:val="none"/>
        </w:rPr>
        <w:t xml:space="preserve">, </w:t>
      </w:r>
      <w:r>
        <w:fldChar w:fldCharType="begin"/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"/document/16794311?unitId=art(30(c))&amp;cm=DOCUMENT"</w:instrTex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strike w:val="false"/>
          <w:dstrike w:val="false"/>
          <w:color w:val="000000"/>
          <w:sz w:val="20"/>
          <w:szCs w:val="20"/>
          <w:u w:val="none"/>
          <w:lang w:val="zxx" w:eastAsia="zxx" w:bidi="zxx"/>
        </w:rPr>
        <w:t>art. 30c</w: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strike w:val="false"/>
          <w:dstrike w:val="false"/>
          <w:color w:val="000000"/>
          <w:sz w:val="20"/>
          <w:szCs w:val="20"/>
          <w:u w:val="none"/>
        </w:rPr>
        <w:t xml:space="preserve">, </w:t>
      </w:r>
      <w:r>
        <w:fldChar w:fldCharType="begin"/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"/document/16794311?unitId=art(30(e))&amp;cm=DOCUMENT"</w:instrTex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strike w:val="false"/>
          <w:dstrike w:val="false"/>
          <w:color w:val="000000"/>
          <w:sz w:val="20"/>
          <w:szCs w:val="20"/>
          <w:u w:val="none"/>
          <w:lang w:val="zxx" w:eastAsia="zxx" w:bidi="zxx"/>
        </w:rPr>
        <w:t>art. 30e</w: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strike w:val="false"/>
          <w:dstrike w:val="false"/>
          <w:color w:val="000000"/>
          <w:sz w:val="20"/>
          <w:szCs w:val="20"/>
          <w:u w:val="none"/>
        </w:rPr>
        <w:t xml:space="preserve"> i </w:t>
      </w:r>
      <w:r>
        <w:fldChar w:fldCharType="begin"/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"/document/16794311?unitId=art(30(f))&amp;cm=DOCUMENT"</w:instrTex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strike w:val="false"/>
          <w:dstrike w:val="false"/>
          <w:color w:val="000000"/>
          <w:sz w:val="20"/>
          <w:szCs w:val="20"/>
          <w:u w:val="none"/>
          <w:lang w:val="zxx" w:eastAsia="zxx" w:bidi="zxx"/>
        </w:rPr>
        <w:t>art. 30f</w:t>
      </w:r>
      <w:r>
        <w:rPr>
          <w:rStyle w:val="Czeinternetowe"/>
          <w:dstrike w:val="false"/>
          <w:strike w:val="fals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ustawy z dnia               26 lipca 1991 r. o podatku dochodowym od osób fizycznych, pomniejszone o koszty uzyskania przychodu, należny podatek dochodowy od osób fizycznych, składki na ubezpieczenia społeczne niezaliczone do kosztów uzyskania przychodu oraz składki na ubezpieczenie zdrowotne, 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b) dochód z działalności podlegającej opodatkowaniu na podstawie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"/search-hypertext/17066846_art(3)_2?pit=2021-05-25"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przepisów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zryczałtowanym podatku dochodowym                    od niektórych przychodów osiąganych przez osoby fizyczne, 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c) inne dochody niepodlegające opodatkowaniu na podstawie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"/search-hypertext/17066846_art(3)_3?pit=2021-05-25"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przepisów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podatku dochodowym od osób fizycznych: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–  </w:t>
      </w:r>
      <w:r>
        <w:rPr>
          <w:color w:val="000000"/>
          <w:sz w:val="20"/>
          <w:szCs w:val="20"/>
          <w:u w:val="none"/>
        </w:rPr>
        <w:t xml:space="preserve">renty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"/search-hypertext/17066846_art(3)_4?pit=2021-05-25"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zaopatrzeniu inwalidów wojennych i wojskowych oraz ich rodzin,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renty wypłacone osobom represjonowanym i członkom ich rodzin, przyznane na zasadach określonych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"/search-hypertext/17066846_art(3)_5?pit=2021-05-25"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                        o zaopatrzeniu inwalidów wojennych i wojskowych oraz ich rodzin,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świadczenie pieniężne, dodatek kompensacyjny oraz ryczałt energetyczny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"/search-hypertext/17066846_art(3)_6?pit=2021-05-25"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świadczeniu pieniężnym    i uprawnieniach przysługujących żołnierzom zastępczej służby wojskowej przymusowo zatrudnianym w kopalniach węgla, kamieniołomach, zakładach rud uranu i batalionach budowlanych,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dodatek kombatancki, ryczałt energetyczny i dodatek kompensacyjny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"/search-hypertext/17066846_art(3)_7?pit=2021-05-25"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kombatantach oraz niektórych osobach będących ofiarami represji wojennych i okresu powojennego,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świadczenie pieniężne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"/search-hypertext/17066846_art(3)_8?pit=2021-05-25"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ryczałt energetyczny, emerytury i renty otrzymywane przez osoby, które utraciły wzrok w wyniku działań wojennych w latach 1939-1945 lub eksplozji pozostałych po tej wojnie niewypałów i niewybuchów,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zasiłki chorobowe określone w </w:t>
      </w:r>
      <w:r>
        <w:rPr>
          <w:rFonts w:eastAsia="Times New Roman" w:cs="Times New Roman"/>
          <w:color w:val="000000"/>
          <w:kern w:val="0"/>
          <w:sz w:val="20"/>
          <w:szCs w:val="20"/>
          <w:u w:val="none"/>
          <w:lang w:val="zxx" w:eastAsia="zxx" w:bidi="zxx"/>
        </w:rPr>
        <w:t>przepisach</w:t>
      </w:r>
      <w:r>
        <w:rPr>
          <w:color w:val="000000"/>
          <w:sz w:val="20"/>
          <w:szCs w:val="20"/>
          <w:u w:val="none"/>
        </w:rPr>
        <w:t xml:space="preserve"> o ubezpieczeniu społecznym rolników oraz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"/search-hypertext/17066846_art(3)_10?pit=2021-05-25"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systemie ubezpieczeń społecznych,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                 za pośrednictwem podmiotu upoważnionego do rozdzielania środków bezzwrotnej pomocy zagranicznej na rzecz podmiotów, którym służyć ma ta pomoc,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"/document/16789274?cm=DOCUMENT"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ustawy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z dnia 26 czerwca 1974 r. - Kodeks pracy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 </w:t>
      </w:r>
      <w:r>
        <w:rPr>
          <w:color w:val="000000"/>
          <w:sz w:val="20"/>
          <w:szCs w:val="20"/>
          <w:u w:val="none"/>
        </w:rPr>
        <w:t>żołnierzom, policjantom, celnikom i pracownikom pełniącym funkcje obserwatorów w misjach pokojowych organizacji międzynarodowych i sił wielonarodowych,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dochody członków rolniczych spółdzielni produkcyjnych z tytułu członkostwa w rolniczej spółdzielni produkcyjnej, pomniejszone o składki na ubezpieczenia społeczne,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alimenty na rzecz dzieci,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stypendia doktoranckie przyznane na podstawie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"/document/18750400?unitId=art(209)ust(1)&amp;cm=DOCUMENT"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art. 209 ust. 1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i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"/document/18750400?unitId=art(209)ust(7)&amp;cm=DOCUMENT"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7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ustawy z dnia 20 lipca 2018 r. - Prawo o szkolnictwie wyższym i nauce, stypendia sportowe przyznane na podstawie ustawy z dnia 25 czerwca 2010 r. o sporcie oraz inne stypendia           o charakterze socjalnym przyznane uczniom lub studentom,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kwoty diet nieopodatkowane podatkiem dochodowym od osób fizycznych, otrzymywane przez osoby wykonujące czynności związane z pełnieniem obowiązków społecznych i obywatelskich,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dodatki za tajne nauczanie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"/document/16790821?cm=DOCUMENT"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ustawie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z dnia 26 stycznia 1982 r. - Karta Nauczyciela 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dochody uzyskane z działalności gospodarczej prowadzonej na podstawie zezwolenia na terenie specjalnej strefy ekonomicznej określonej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"/search-hypertext/17066846_art(3)_13?pit=2021-05-25"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specjalnych strefach ekonomicznych,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ekwiwalenty pieniężne za deputaty węglowe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"/search-hypertext/17066846_art(3)_14?pit=2021-05-25"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komercjalizacji, restrukturyzacji i prywatyzacji przedsiębiorstwa państwowego "Polskie Koleje Państwowe",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ekwiwalenty z tytułu prawa do bezpłatnego węgla określone w przepisach o restrukturyzacji górnictwa węgla kamiennego                 w latach 2003-2006,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świadczenia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"/search-hypertext/17066846_art(3)_16?pit=2021-05-25"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wykonywaniu mandatu posła i senatora,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dochody uzyskane z gospodarstwa rolnego,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renty określone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"/search-hypertext/17066846_art(3)_32?pit=2021-05-25"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wspieraniu rozwoju obszarów wiejskich ze środków pochodzących z Sekcji Gwarancji Europejskiego Funduszu Orientacji i Gwarancji Rolnej oraz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"/search-hypertext/17066846_art(3)_34?pit=2021-05-25"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przepisach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 wspieraniu rozwoju obszarów wiejskich z udziałem środków Europejskiego Funduszu Rolnego na rzecz Rozwoju Obszarów Wiejskich,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zaliczkę alimentacyjną określoną w przepisach o postępowaniu wobec dłużników alimentacyjnych oraz zaliczce alimentacyjnej,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świadczenia pieniężne wypłacane w przypadku bezskuteczności egzekucji alimentów,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pomoc materialną o charakterze socjalnym określoną w art. 90c ust. 2 ustawy z dnia 7 września 1991 r. o systemie oświaty oraz świadczenia, o których mowa w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"/document/18750400?unitId=art(86)ust(1)pkt(1)&amp;cm=DOCUMENT"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art. 86 ust. 1 pkt 1-3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i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"/document/18750400?unitId=art(86)ust(1)pkt(5)&amp;cm=DOCUMENT"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5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oraz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"/document/18750400?unitId=art(212)&amp;cm=DOCUMENT"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art. 212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ustawy z dnia 20 lipca 2018 r. - Prawo o szkolnictwie wyższym i nauce,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kwoty otrzymane na podstawie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"/document/16794311?unitId=art(27(f))ust(8)&amp;cm=DOCUMENT"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art. 27f ust. 8-10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ustawy z dnia 26 lipca 1991 r. o podatku dochodowym od osób fizycznych,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świadczenie pieniężne określone w ustawie z dnia 20 marca 2015 r. o działaczach opozycji antykomunistycznej oraz osobach represjonowanych z powodów politycznych,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świadczenie rodzicielskie,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zasiłek macierzyński, o którym mowa w przepisach o ubezpieczeniu społecznym rolników,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>stypendia dla bezrobotnych finansowane ze środków Unii Europejskiej lub Funduszu Pracy, niezależnie od podmiotu, który je wypłaca;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none"/>
        </w:rPr>
        <w:t xml:space="preserve">– </w:t>
      </w:r>
      <w:r>
        <w:rPr>
          <w:color w:val="000000"/>
          <w:sz w:val="20"/>
          <w:szCs w:val="20"/>
          <w:u w:val="none"/>
        </w:rPr>
        <w:t xml:space="preserve">przychody wolne od podatku dochodowego na podstawie </w:t>
      </w:r>
      <w:r>
        <w:fldChar w:fldCharType="begin"/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instrText> HYPERLINK "https://sip.lex.pl/" \l "/document/16794311?unitId=art(21)ust(1)pkt(148)&amp;cm=DOCUMENT"</w:instrTex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separate"/>
      </w:r>
      <w:r>
        <w:rPr>
          <w:rStyle w:val="Czeinternetowe"/>
          <w:color w:val="000000"/>
          <w:sz w:val="20"/>
          <w:szCs w:val="20"/>
          <w:u w:val="none"/>
          <w:lang w:val="zxx" w:eastAsia="zxx" w:bidi="zxx"/>
        </w:rPr>
        <w:t>art. 21 ust. 1 pkt 148</w:t>
      </w:r>
      <w:r>
        <w:rPr>
          <w:rStyle w:val="Czeinternetowe"/>
          <w:sz w:val="20"/>
          <w:u w:val="none"/>
          <w:szCs w:val="20"/>
          <w:color w:val="000000"/>
          <w:lang w:val="zxx" w:eastAsia="zxx" w:bidi="zxx"/>
        </w:rPr>
        <w:fldChar w:fldCharType="end"/>
      </w:r>
      <w:r>
        <w:rPr>
          <w:color w:val="000000"/>
          <w:sz w:val="20"/>
          <w:szCs w:val="20"/>
          <w:u w:val="none"/>
        </w:rPr>
        <w:t xml:space="preserve"> ustawy z dnia 26 lipca 1991 r. o podatku dochodowym od osób fizycznych, pomniejszone o składki na ubezpieczenia społeczne oraz składki na ubezpieczenia zdrowotne;</w:t>
      </w:r>
    </w:p>
    <w:p>
      <w:pPr>
        <w:pStyle w:val="Normal"/>
        <w:jc w:val="both"/>
        <w:rPr>
          <w:u w:val="none"/>
        </w:rPr>
      </w:pPr>
      <w:r>
        <w:rPr>
          <w:u w:val="none"/>
        </w:rPr>
        <w:t xml:space="preserve">- </w:t>
      </w:r>
      <w:r>
        <w:rPr/>
        <w:t xml:space="preserve">przychody wolne od podatku dochodowego na podstawie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"/document/16794311?unitId=art(21)ust(1)pkt(152)lit(a)&amp;cm=DOCUMENT"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21 ust. 1 pkt 152 lit. a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,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"/document/16794311?unitId=art(21)ust(1)pkt(152)lit(b)&amp;cm=DOCUMENT"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b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i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"/document/16794311?unitId=art(21)ust(1)pkt(152)lit(d)&amp;cm=DOCUMENT"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d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</w:t>
      </w:r>
      <w:r>
        <w:rPr/>
        <w:t xml:space="preserve">oraz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"/document/16794311?unitId=art(21)ust(1)pkt(153)lit(a)&amp;cm=DOCUMENT"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pkt 153 lit. a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,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"/document/16794311?unitId=art(21)ust(1)pkt(153)lit(b)&amp;cm=DOCUMENT"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b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i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"/document/16794311?unitId=art(21)ust(1)pkt(153)lit(d)&amp;cm=DOCUMENT"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d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ustawy z dnia 26 lipca 1991 r. o podatku dochodowym od osób fizycznych, oraz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"/document/16794311?unitId=art(21)ust(1)pkt(154)&amp;cm=DOCUMENT"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21 ust. 1 pkt 154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tej ustawy w zakresie przychodów ze stosunku służbowego, stosunku pracy, pracy nakładczej, spółdzielczego stosunku pracy, z umów zlecenia, o których mowa w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"/document/16794311?unitId=art(13)pkt(8)&amp;cm=DOCUMENT"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13 pkt 8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>
      <w:pPr>
        <w:pStyle w:val="Normal"/>
        <w:jc w:val="both"/>
        <w:rPr/>
      </w:pPr>
      <w:r>
        <w:rPr>
          <w:color w:val="000000"/>
          <w:u w:val="none"/>
        </w:rPr>
        <w:t xml:space="preserve">– </w:t>
      </w:r>
      <w:r>
        <w:rPr>
          <w:color w:val="000000"/>
          <w:u w:val="none"/>
        </w:rPr>
        <w:t xml:space="preserve">przychody wolne od podatku dochodowego na podstawie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"/document/16794311?unitId=art(21)ust(1)pkt(152)lit(c)&amp;cm=DOCUMENT"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21 ust. 1 pkt 152 lit. c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,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"/document/16794311?unitId=art(21)ust(1)pkt(153)lit(c)&amp;cm=DOCUMENT"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pkt 153 lit. c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oraz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"/document/16794311?unitId=art(21)ust(1)pkt(154)&amp;cm=DOCUMENT"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pkt 154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ustawy z dnia 26 lipca 1991 r. o podatku dochodowym od osób fizycznych z pozarolniczej działalności gospodarczej opodatkowanych według zasad określonych w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"/document/16794311?unitId=art(27)&amp;cm=DOCUMENT"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27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i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"/document/16794311?unitId=art(30(c))&amp;cm=DOCUMENT"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30c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tej ustawy, pomniejszone o składki na ubezpieczenia społeczne oraz składki na ubezpieczenia zdrowotne,</w:t>
      </w:r>
    </w:p>
    <w:p>
      <w:pPr>
        <w:pStyle w:val="Normal"/>
        <w:rPr>
          <w:u w:val="none"/>
        </w:rPr>
      </w:pPr>
      <w:r>
        <w:rPr>
          <w:color w:val="000000"/>
          <w:u w:val="none"/>
        </w:rPr>
        <w:t xml:space="preserve">– </w:t>
      </w:r>
      <w:r>
        <w:rPr>
          <w:color w:val="000000"/>
          <w:u w:val="none"/>
        </w:rPr>
        <w:t xml:space="preserve">dochody z pozarolniczej działalności gospodarczej opodatkowanej w formie ryczałtu od przychodów ewidencjonowanych, o których mowa w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"/document/16794311?unitId=art(21)ust(1)pkt(152)lit(c)&amp;cm=DOCUMENT"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art. 21 ust. 1 pkt 152 lit. c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,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"/document/16794311?unitId=art(21)ust(1)pkt(153)lit(c)&amp;cm=DOCUMENT"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pkt 153 lit. c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i </w:t>
      </w:r>
      <w:r>
        <w:fldChar w:fldCharType="begin"/>
      </w:r>
      <w:r>
        <w:rPr>
          <w:rStyle w:val="Czeinternetowe"/>
          <w:u w:val="none"/>
          <w:color w:val="000000"/>
        </w:rPr>
        <w:instrText> HYPERLINK "https://sip.lex.pl/" \l "/document/16794311?unitId=art(21)ust(1)pkt(154)&amp;cm=DOCUMENT"</w:instrText>
      </w:r>
      <w:r>
        <w:rPr>
          <w:rStyle w:val="Czeinternetowe"/>
          <w:u w:val="none"/>
          <w:color w:val="000000"/>
        </w:rPr>
        <w:fldChar w:fldCharType="separate"/>
      </w:r>
      <w:r>
        <w:rPr>
          <w:rStyle w:val="Czeinternetowe"/>
          <w:color w:val="000000"/>
          <w:u w:val="none"/>
        </w:rPr>
        <w:t>pkt 154</w:t>
      </w:r>
      <w:r>
        <w:rPr>
          <w:rStyle w:val="Czeinternetowe"/>
          <w:u w:val="none"/>
          <w:color w:val="000000"/>
        </w:rPr>
        <w:fldChar w:fldCharType="end"/>
      </w:r>
      <w:r>
        <w:rPr>
          <w:color w:val="000000"/>
          <w:u w:val="none"/>
        </w:rPr>
        <w:t xml:space="preserve"> ustawy z dnia 26 lipca 1991 r. </w:t>
      </w:r>
      <w:r>
        <w:rPr/>
        <w:t>o podatku dochodowym od osób fizycznych, ustalone zgodnie z art. 5 ust. 7a;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  <w:u w:val="none"/>
        </w:rPr>
        <w:t xml:space="preserve">4. Nie uwzględnia się dochodu osoby, która przebywa w instytucji, o której mowa </w:t>
      </w:r>
      <w:r>
        <w:rPr>
          <w:rStyle w:val="Czeinternetowe"/>
          <w:color w:val="000000"/>
          <w:sz w:val="20"/>
          <w:szCs w:val="20"/>
          <w:u w:val="none"/>
        </w:rPr>
        <w:t xml:space="preserve">w pkt 2, albo wyprowadziła się z lokalu mieszkalnego albo zmarła przed dniem złożenia wniosku o przyznanie dodatku mieszkaniowego. </w:t>
      </w:r>
    </w:p>
    <w:p>
      <w:pPr>
        <w:pStyle w:val="Normal"/>
        <w:jc w:val="both"/>
        <w:rPr/>
      </w:pPr>
      <w:r>
        <w:rPr>
          <w:rStyle w:val="Ins"/>
          <w:color w:val="000000"/>
          <w:sz w:val="20"/>
          <w:szCs w:val="20"/>
          <w:u w:val="none"/>
        </w:rPr>
        <w:t xml:space="preserve">5. W </w:t>
      </w:r>
      <w:r>
        <w:rPr>
          <w:rStyle w:val="Czeinternetowe"/>
          <w:color w:val="000000"/>
          <w:sz w:val="20"/>
          <w:szCs w:val="20"/>
          <w:u w:val="none"/>
        </w:rPr>
        <w:t>przypadku posiadania tytułu prawnego do gospodarstwa rolnego dochód z tego gospodarstwa ustala się na podstawie powierzchni gruntów w hektarach przeliczeniowych i wysokości przeciętnego dochodu z pracy w indywidualnych gospodarstwach rolnych z 1 ha przeliczeniowego, ostatnio ogłaszanego przez Prezesa Głównego Urzędu Statystycznego,                  na podstawie art. 18 ustawy z dnia 15 listopada 1984 r. o podatku rolnym.</w:t>
      </w:r>
    </w:p>
    <w:p>
      <w:pPr>
        <w:pStyle w:val="Normal"/>
        <w:jc w:val="both"/>
        <w:rPr/>
      </w:pPr>
      <w:r>
        <w:rPr>
          <w:rStyle w:val="Czeinternetowe"/>
          <w:rFonts w:eastAsia="Times New Roman" w:cs="Times New Roman"/>
          <w:color w:val="000000"/>
          <w:kern w:val="0"/>
          <w:sz w:val="20"/>
          <w:szCs w:val="20"/>
          <w:u w:val="none"/>
          <w:lang w:val="pl-PL" w:eastAsia="pl-PL" w:bidi="ar-SA"/>
        </w:rPr>
        <w:t xml:space="preserve">6. Wysokość dochodu z pozarolniczej działalności gospodarczej, w przypadku prowadzenia działalności opodatkowanej                   </w:t>
      </w:r>
      <w:r>
        <w:rPr>
          <w:rStyle w:val="Czeinternetowe"/>
          <w:rFonts w:eastAsia="Times New Roman" w:cs="Times New Roman"/>
          <w:color w:val="000000"/>
          <w:kern w:val="0"/>
          <w:sz w:val="20"/>
          <w:szCs w:val="20"/>
          <w:u w:val="none"/>
        </w:rPr>
        <w:t>n</w:t>
      </w:r>
      <w:r>
        <w:rPr>
          <w:rStyle w:val="Czeinternetowe"/>
          <w:rFonts w:eastAsia="Times New Roman" w:cs="Times New Roman"/>
          <w:color w:val="000000"/>
          <w:kern w:val="0"/>
          <w:sz w:val="20"/>
          <w:szCs w:val="20"/>
          <w:u w:val="none"/>
          <w:lang w:val="pl-PL" w:eastAsia="pl-PL" w:bidi="ar-SA"/>
        </w:rPr>
        <w:t xml:space="preserve">a zasadach określonych w przepisach </w:t>
      </w:r>
      <w:r>
        <w:rPr>
          <w:rStyle w:val="Czeinternetowe"/>
          <w:color w:val="000000"/>
          <w:sz w:val="20"/>
          <w:szCs w:val="20"/>
          <w:u w:val="none"/>
        </w:rPr>
        <w:t xml:space="preserve">ustawy z dnia 26 lipca 1991 r. o podatku dochodowym od osób fizycznych, ustala się              na podstawie oświadczenia Wnioskodawcy lub zaświadczenia wydanego przez naczelnika właściwego urzędu skarbowego.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z w:val="20"/>
          <w:szCs w:val="20"/>
          <w:u w:val="none"/>
        </w:rPr>
        <w:t>7</w:t>
      </w:r>
      <w:r>
        <w:fldChar w:fldCharType="begin"/>
      </w:r>
      <w:r>
        <w:rPr>
          <w:rStyle w:val="Czeinternetowe"/>
          <w:sz w:val="20"/>
          <w:u w:val="none"/>
          <w:b w:val="false"/>
          <w:szCs w:val="20"/>
          <w:bCs w:val="false"/>
          <w:color w:val="000000"/>
        </w:rPr>
        <w:instrText> HYPERLINK "https://sip.lex.pl/" \l "/document/16794311?unitId=art(21)ust(1)pkt(148)&amp;cm=DOCUMENT"</w:instrText>
      </w:r>
      <w:r>
        <w:rPr>
          <w:rStyle w:val="Czeinternetowe"/>
          <w:sz w:val="20"/>
          <w:u w:val="none"/>
          <w:b w:val="false"/>
          <w:szCs w:val="20"/>
          <w:bCs w:val="false"/>
          <w:color w:val="000000"/>
        </w:rPr>
        <w:fldChar w:fldCharType="separate"/>
      </w:r>
      <w:r>
        <w:rPr>
          <w:rStyle w:val="Czeinternetowe"/>
          <w:b w:val="false"/>
          <w:bCs w:val="false"/>
          <w:color w:val="000000"/>
          <w:sz w:val="20"/>
          <w:szCs w:val="20"/>
          <w:u w:val="none"/>
        </w:rPr>
        <w:t xml:space="preserve">. W przypadku ustalania dochodu z działalności podlegającej opodatkowaniu na podstawie przepisów </w:t>
      </w:r>
      <w:r>
        <w:rPr>
          <w:rStyle w:val="Czeinternetowe"/>
          <w:sz w:val="20"/>
          <w:u w:val="none"/>
          <w:b w:val="false"/>
          <w:szCs w:val="20"/>
          <w:bCs w:val="false"/>
          <w:color w:val="000000"/>
        </w:rPr>
        <w:fldChar w:fldCharType="end"/>
      </w:r>
      <w:r>
        <w:rPr>
          <w:rStyle w:val="Czeinternetowe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u w:val="none"/>
          <w:lang w:val="zxx" w:eastAsia="zxx" w:bidi="zxx"/>
        </w:rPr>
        <w:t xml:space="preserve">ustawy </w:t>
      </w:r>
      <w:r>
        <w:rPr>
          <w:rStyle w:val="Czeinternetowe"/>
          <w:b w:val="false"/>
          <w:bCs w:val="false"/>
          <w:color w:val="000000"/>
          <w:sz w:val="20"/>
          <w:szCs w:val="20"/>
          <w:u w:val="none"/>
        </w:rPr>
        <w:t xml:space="preserve">z dnia                        20 listopada 1998 r. o zryczałtowanym podatku dochodowym od niektórych przychodów osiąganych przez osoby fizyczne przyjmuje się dochód miesięczny w wysokości 1/12 dochodu ogłaszanego corocznie, w drodze obwieszczenia ministra właściwego do spraw rodziny, o którym mowa w art. 5 ust. 7a ustawy z dnia 28 listopada 2003 r. o świadczeniach rodzinnych. </w:t>
      </w:r>
    </w:p>
    <w:sectPr>
      <w:type w:val="nextPage"/>
      <w:pgSz w:w="11906" w:h="16838"/>
      <w:pgMar w:left="765" w:right="821" w:header="0" w:top="210" w:footer="0" w:bottom="18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Strong" w:uiPriority="22" w:semiHidden="0" w:unhideWhenUsed="0" w:qFormat="1"/>
    <w:lsdException w:name="Emphasis" w:uiPriority="20" w:semiHidden="0" w:unhideWhenUsed="0" w:qFormat="1"/>
    <w:lsdException w:name="Document Map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b/>
      <w:bCs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outlineLvl w:val="1"/>
    </w:pPr>
    <w:rPr>
      <w:b/>
      <w:bCs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gwek2Znak" w:customStyle="1">
    <w:name w:val="Nagłówek 2 Znak"/>
    <w:link w:val="Nagwek2"/>
    <w:uiPriority w:val="99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9"/>
    <w:qFormat/>
    <w:rPr>
      <w:rFonts w:ascii="Cambria" w:hAnsi="Cambria" w:eastAsia="Times New Roman" w:cs="Cambria"/>
      <w:b/>
      <w:bCs/>
      <w:sz w:val="26"/>
      <w:szCs w:val="26"/>
    </w:rPr>
  </w:style>
  <w:style w:type="character" w:styleId="PlandokumentuZnak" w:customStyle="1">
    <w:name w:val="Plan dokumentu Znak"/>
    <w:link w:val="Plandokumentu"/>
    <w:uiPriority w:val="99"/>
    <w:qFormat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qFormat/>
    <w:rPr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qFormat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Ins">
    <w:name w:val="ins"/>
    <w:qFormat/>
    <w:rPr/>
  </w:style>
  <w:style w:type="character" w:styleId="Del">
    <w:name w:val="del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/>
    <w:rPr>
      <w:sz w:val="24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landokumentu" w:customStyle="1">
    <w:name w:val="Plan dokumentu"/>
    <w:basedOn w:val="Normal"/>
    <w:link w:val="PlandokumentuZnak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link w:val="Tekstpodstawowy2Znak"/>
    <w:uiPriority w:val="99"/>
    <w:qFormat/>
    <w:pPr>
      <w:ind w:left="708" w:hanging="0"/>
    </w:pPr>
    <w:rPr/>
  </w:style>
  <w:style w:type="paragraph" w:styleId="ListParagraph">
    <w:name w:val="List Paragraph"/>
    <w:basedOn w:val="Normal"/>
    <w:uiPriority w:val="99"/>
    <w:qFormat/>
    <w:pPr>
      <w:ind w:left="708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Przypiskocowy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LibreOffice/7.1.2.2$Windows_X86_64 LibreOffice_project/8a45595d069ef5570103caea1b71cc9d82b2aae4</Application>
  <AppVersion>15.0000</AppVersion>
  <Pages>2</Pages>
  <Words>1636</Words>
  <Characters>10367</Characters>
  <CharactersWithSpaces>12253</CharactersWithSpaces>
  <Paragraphs>59</Paragraphs>
  <Company>Urząd Miejski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dc:description/>
  <dc:language>pl-PL</dc:language>
  <cp:lastModifiedBy/>
  <cp:lastPrinted>2022-07-28T15:01:37Z</cp:lastPrinted>
  <dcterms:modified xsi:type="dcterms:W3CDTF">2022-07-28T15:02:22Z</dcterms:modified>
  <cp:revision>17</cp:revision>
  <dc:subject/>
  <dc:title>Załączniki  do rozporządzenia Rady Ministrów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